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7E9E" w14:textId="2500E9F3" w:rsidR="006B2BE7" w:rsidRPr="008F704F" w:rsidRDefault="00EA7332" w:rsidP="004B22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At-a-</w:t>
      </w:r>
      <w:r w:rsidR="00E25A3A" w:rsidRPr="008F704F">
        <w:rPr>
          <w:rFonts w:ascii="Times New Roman" w:hAnsi="Times New Roman" w:cs="Times New Roman"/>
          <w:b/>
        </w:rPr>
        <w:t xml:space="preserve"> Glance Research Briefs</w:t>
      </w:r>
    </w:p>
    <w:p w14:paraId="120F19CF" w14:textId="740819DE" w:rsidR="00E25A3A" w:rsidRDefault="00E25A3A" w:rsidP="00E25A3A">
      <w:pPr>
        <w:rPr>
          <w:rFonts w:ascii="Times New Roman" w:hAnsi="Times New Roman" w:cs="Times New Roman"/>
          <w:bCs/>
        </w:rPr>
      </w:pPr>
      <w:r w:rsidRPr="008F704F">
        <w:rPr>
          <w:rFonts w:ascii="Times New Roman" w:hAnsi="Times New Roman" w:cs="Times New Roman"/>
          <w:bCs/>
        </w:rPr>
        <w:t xml:space="preserve">ECPC </w:t>
      </w:r>
      <w:r w:rsidR="006B2BE7" w:rsidRPr="008F704F">
        <w:rPr>
          <w:rFonts w:ascii="Times New Roman" w:hAnsi="Times New Roman" w:cs="Times New Roman"/>
          <w:bCs/>
        </w:rPr>
        <w:t xml:space="preserve">contracted with the Puckett Institute to investigate evidenced based pre-service and technical assistance practices. </w:t>
      </w:r>
      <w:r w:rsidR="00344492">
        <w:rPr>
          <w:rFonts w:ascii="Times New Roman" w:hAnsi="Times New Roman" w:cs="Times New Roman"/>
          <w:bCs/>
        </w:rPr>
        <w:t>The</w:t>
      </w:r>
      <w:r w:rsidR="00613720">
        <w:rPr>
          <w:rFonts w:ascii="Times New Roman" w:hAnsi="Times New Roman" w:cs="Times New Roman"/>
          <w:bCs/>
        </w:rPr>
        <w:t xml:space="preserve"> Puckett Institute developed</w:t>
      </w:r>
      <w:r w:rsidR="00A83B69">
        <w:rPr>
          <w:rFonts w:ascii="Times New Roman" w:hAnsi="Times New Roman" w:cs="Times New Roman"/>
          <w:bCs/>
        </w:rPr>
        <w:t xml:space="preserve"> </w:t>
      </w:r>
      <w:r w:rsidR="006B2BE7" w:rsidRPr="008F704F">
        <w:rPr>
          <w:rFonts w:ascii="Times New Roman" w:hAnsi="Times New Roman" w:cs="Times New Roman"/>
          <w:bCs/>
        </w:rPr>
        <w:t>a</w:t>
      </w:r>
      <w:r w:rsidR="00B701CF" w:rsidRPr="008F704F">
        <w:rPr>
          <w:rFonts w:ascii="Times New Roman" w:hAnsi="Times New Roman" w:cs="Times New Roman"/>
          <w:bCs/>
        </w:rPr>
        <w:t xml:space="preserve"> meta-analysis describing the core elements of technical assistance that lead to sustainable program</w:t>
      </w:r>
      <w:r w:rsidR="00613720">
        <w:rPr>
          <w:rFonts w:ascii="Times New Roman" w:hAnsi="Times New Roman" w:cs="Times New Roman"/>
          <w:bCs/>
        </w:rPr>
        <w:t>s</w:t>
      </w:r>
      <w:r w:rsidR="00B701CF" w:rsidRPr="008F704F">
        <w:rPr>
          <w:rFonts w:ascii="Times New Roman" w:hAnsi="Times New Roman" w:cs="Times New Roman"/>
          <w:bCs/>
        </w:rPr>
        <w:t xml:space="preserve"> and organization change (Dunst et al, 2018</w:t>
      </w:r>
      <w:r w:rsidR="00B701CF">
        <w:rPr>
          <w:rFonts w:ascii="Times New Roman" w:hAnsi="Times New Roman" w:cs="Times New Roman"/>
          <w:bCs/>
        </w:rPr>
        <w:t xml:space="preserve">) and a </w:t>
      </w:r>
      <w:r w:rsidR="006B2BE7" w:rsidRPr="008F704F">
        <w:rPr>
          <w:rFonts w:ascii="Times New Roman" w:hAnsi="Times New Roman" w:cs="Times New Roman"/>
          <w:bCs/>
        </w:rPr>
        <w:t>meta synthesis describing high impact practices for pre-service teacher preparation</w:t>
      </w:r>
      <w:r w:rsidR="00344492">
        <w:rPr>
          <w:rFonts w:ascii="Times New Roman" w:hAnsi="Times New Roman" w:cs="Times New Roman"/>
          <w:bCs/>
        </w:rPr>
        <w:t xml:space="preserve"> (Dunst et al, 2019)</w:t>
      </w:r>
      <w:r w:rsidR="006B2BE7" w:rsidRPr="008F704F">
        <w:rPr>
          <w:rFonts w:ascii="Times New Roman" w:hAnsi="Times New Roman" w:cs="Times New Roman"/>
          <w:bCs/>
        </w:rPr>
        <w:t xml:space="preserve">. </w:t>
      </w:r>
    </w:p>
    <w:p w14:paraId="758779DA" w14:textId="1E119565" w:rsidR="00B701CF" w:rsidRDefault="00B701CF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ECPC </w:t>
      </w:r>
      <w:r w:rsidR="00613720">
        <w:rPr>
          <w:rFonts w:ascii="Times New Roman" w:hAnsi="Times New Roman" w:cs="Times New Roman"/>
          <w:bCs/>
        </w:rPr>
        <w:t xml:space="preserve">then </w:t>
      </w:r>
      <w:r>
        <w:rPr>
          <w:rFonts w:ascii="Times New Roman" w:hAnsi="Times New Roman" w:cs="Times New Roman"/>
          <w:bCs/>
        </w:rPr>
        <w:t xml:space="preserve">created </w:t>
      </w:r>
      <w:r w:rsidR="00613720">
        <w:rPr>
          <w:rFonts w:ascii="Times New Roman" w:hAnsi="Times New Roman" w:cs="Times New Roman"/>
          <w:bCs/>
        </w:rPr>
        <w:t xml:space="preserve">the </w:t>
      </w:r>
      <w:r w:rsidR="00EA7332">
        <w:rPr>
          <w:rFonts w:ascii="Times New Roman" w:hAnsi="Times New Roman" w:cs="Times New Roman"/>
          <w:bCs/>
          <w:i/>
          <w:iCs/>
        </w:rPr>
        <w:t>At-a-</w:t>
      </w:r>
      <w:r w:rsidRPr="00B701CF">
        <w:rPr>
          <w:rFonts w:ascii="Times New Roman" w:hAnsi="Times New Roman" w:cs="Times New Roman"/>
          <w:bCs/>
          <w:i/>
          <w:iCs/>
        </w:rPr>
        <w:t xml:space="preserve"> Glance</w:t>
      </w:r>
      <w:r>
        <w:rPr>
          <w:rFonts w:ascii="Times New Roman" w:hAnsi="Times New Roman" w:cs="Times New Roman"/>
          <w:bCs/>
        </w:rPr>
        <w:t xml:space="preserve"> Research Briefs, </w:t>
      </w:r>
      <w:r w:rsidR="00613720">
        <w:rPr>
          <w:rFonts w:ascii="Times New Roman" w:hAnsi="Times New Roman" w:cs="Times New Roman"/>
          <w:bCs/>
        </w:rPr>
        <w:t xml:space="preserve">which are designed to distill </w:t>
      </w:r>
      <w:r>
        <w:rPr>
          <w:rFonts w:ascii="Times New Roman" w:hAnsi="Times New Roman" w:cs="Times New Roman"/>
          <w:bCs/>
        </w:rPr>
        <w:t>the findings of each study</w:t>
      </w:r>
      <w:r w:rsidR="00A83B69">
        <w:rPr>
          <w:rFonts w:ascii="Times New Roman" w:hAnsi="Times New Roman" w:cs="Times New Roman"/>
          <w:bCs/>
        </w:rPr>
        <w:t xml:space="preserve"> </w:t>
      </w:r>
      <w:r w:rsidR="00613720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support ECI personnel to utilize</w:t>
      </w:r>
      <w:r w:rsidR="00613720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 w:cs="Times New Roman"/>
          <w:bCs/>
        </w:rPr>
        <w:t xml:space="preserve"> information</w:t>
      </w:r>
      <w:r w:rsidR="00A83B69">
        <w:rPr>
          <w:rFonts w:ascii="Times New Roman" w:hAnsi="Times New Roman" w:cs="Times New Roman"/>
          <w:bCs/>
        </w:rPr>
        <w:t xml:space="preserve"> </w:t>
      </w:r>
      <w:r w:rsidR="00613720">
        <w:rPr>
          <w:rFonts w:ascii="Times New Roman" w:hAnsi="Times New Roman" w:cs="Times New Roman"/>
          <w:bCs/>
        </w:rPr>
        <w:t>in their practice</w:t>
      </w:r>
      <w:r>
        <w:rPr>
          <w:rFonts w:ascii="Times New Roman" w:hAnsi="Times New Roman" w:cs="Times New Roman"/>
          <w:bCs/>
        </w:rPr>
        <w:t xml:space="preserve">.  The briefs are organized into two sets: 1) The Core Elements of Technical Assistance, which includes a total of </w:t>
      </w:r>
      <w:r w:rsidR="00613720">
        <w:rPr>
          <w:rFonts w:ascii="Times New Roman" w:hAnsi="Times New Roman" w:cs="Times New Roman"/>
          <w:bCs/>
        </w:rPr>
        <w:t>six</w:t>
      </w:r>
      <w:r>
        <w:rPr>
          <w:rFonts w:ascii="Times New Roman" w:hAnsi="Times New Roman" w:cs="Times New Roman"/>
          <w:bCs/>
        </w:rPr>
        <w:t xml:space="preserve"> briefs, and 2) The Core Practices for Pre-Service Personnel Preparation, which includes a total of eight briefs.</w:t>
      </w:r>
    </w:p>
    <w:p w14:paraId="728EF0B1" w14:textId="051A6DBD" w:rsidR="00B701CF" w:rsidRDefault="00B701CF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briefs were first created in May of 2019</w:t>
      </w:r>
      <w:r w:rsidR="0061372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with a plan </w:t>
      </w:r>
      <w:r w:rsidR="00613720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an iterative process </w:t>
      </w:r>
      <w:r w:rsidR="00613720"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 w:cs="Times New Roman"/>
          <w:bCs/>
        </w:rPr>
        <w:t xml:space="preserve">revisions and updates based </w:t>
      </w:r>
      <w:r w:rsidR="00613720">
        <w:rPr>
          <w:rFonts w:ascii="Times New Roman" w:hAnsi="Times New Roman" w:cs="Times New Roman"/>
          <w:bCs/>
        </w:rPr>
        <w:t xml:space="preserve">on </w:t>
      </w:r>
      <w:r>
        <w:rPr>
          <w:rFonts w:ascii="Times New Roman" w:hAnsi="Times New Roman" w:cs="Times New Roman"/>
          <w:bCs/>
        </w:rPr>
        <w:t xml:space="preserve">feedback from </w:t>
      </w:r>
      <w:r w:rsidR="00613720">
        <w:rPr>
          <w:rFonts w:ascii="Times New Roman" w:hAnsi="Times New Roman" w:cs="Times New Roman"/>
          <w:bCs/>
        </w:rPr>
        <w:t xml:space="preserve">our </w:t>
      </w:r>
      <w:r w:rsidR="00CC1AC7">
        <w:rPr>
          <w:rFonts w:ascii="Times New Roman" w:hAnsi="Times New Roman" w:cs="Times New Roman"/>
          <w:bCs/>
        </w:rPr>
        <w:t>early childhood workforce</w:t>
      </w:r>
      <w:r w:rsidR="00613720">
        <w:rPr>
          <w:rFonts w:ascii="Times New Roman" w:hAnsi="Times New Roman" w:cs="Times New Roman"/>
          <w:bCs/>
        </w:rPr>
        <w:t xml:space="preserve"> stakeholders (including </w:t>
      </w:r>
      <w:r w:rsidR="00B467FC">
        <w:rPr>
          <w:rFonts w:ascii="Times New Roman" w:hAnsi="Times New Roman" w:cs="Times New Roman"/>
          <w:bCs/>
        </w:rPr>
        <w:t>National TA Center personnel, Part B</w:t>
      </w:r>
      <w:r w:rsidR="00613720">
        <w:rPr>
          <w:rFonts w:ascii="Times New Roman" w:hAnsi="Times New Roman" w:cs="Times New Roman"/>
          <w:bCs/>
        </w:rPr>
        <w:t>/</w:t>
      </w:r>
      <w:r w:rsidR="00B467FC">
        <w:rPr>
          <w:rFonts w:ascii="Times New Roman" w:hAnsi="Times New Roman" w:cs="Times New Roman"/>
          <w:bCs/>
        </w:rPr>
        <w:t>619 coordinators, Part C coordinators, faculty, family members and other stakeholders engaged in ECPC activities</w:t>
      </w:r>
      <w:r w:rsidR="00613720">
        <w:rPr>
          <w:rFonts w:ascii="Times New Roman" w:hAnsi="Times New Roman" w:cs="Times New Roman"/>
          <w:bCs/>
        </w:rPr>
        <w:t>)</w:t>
      </w:r>
      <w:r w:rsidR="00B467FC">
        <w:rPr>
          <w:rFonts w:ascii="Times New Roman" w:hAnsi="Times New Roman" w:cs="Times New Roman"/>
          <w:bCs/>
        </w:rPr>
        <w:t xml:space="preserve">. Participants </w:t>
      </w:r>
      <w:r w:rsidR="004B2202">
        <w:rPr>
          <w:rFonts w:ascii="Times New Roman" w:hAnsi="Times New Roman" w:cs="Times New Roman"/>
          <w:bCs/>
        </w:rPr>
        <w:t xml:space="preserve">were asked </w:t>
      </w:r>
      <w:r w:rsidR="00B467FC">
        <w:rPr>
          <w:rFonts w:ascii="Times New Roman" w:hAnsi="Times New Roman" w:cs="Times New Roman"/>
          <w:bCs/>
        </w:rPr>
        <w:t>to rate the</w:t>
      </w:r>
      <w:r w:rsidR="00613720">
        <w:rPr>
          <w:rFonts w:ascii="Times New Roman" w:hAnsi="Times New Roman" w:cs="Times New Roman"/>
          <w:bCs/>
        </w:rPr>
        <w:t xml:space="preserve"> briefs on a five-point feedback scale (ranging from </w:t>
      </w:r>
      <w:r w:rsidR="00B467FC">
        <w:rPr>
          <w:rFonts w:ascii="Times New Roman" w:hAnsi="Times New Roman" w:cs="Times New Roman"/>
          <w:bCs/>
        </w:rPr>
        <w:t>1</w:t>
      </w:r>
      <w:r w:rsidR="00B467FC" w:rsidRPr="00B467FC">
        <w:rPr>
          <w:rFonts w:ascii="Times New Roman" w:hAnsi="Times New Roman" w:cs="Times New Roman"/>
          <w:bCs/>
        </w:rPr>
        <w:t xml:space="preserve"> </w:t>
      </w:r>
      <w:r w:rsidR="00B467FC">
        <w:rPr>
          <w:rFonts w:ascii="Times New Roman" w:hAnsi="Times New Roman" w:cs="Times New Roman"/>
          <w:bCs/>
        </w:rPr>
        <w:t xml:space="preserve">strongly disagree </w:t>
      </w:r>
      <w:r w:rsidR="0007026E">
        <w:rPr>
          <w:rFonts w:ascii="Times New Roman" w:hAnsi="Times New Roman" w:cs="Times New Roman"/>
          <w:bCs/>
        </w:rPr>
        <w:t xml:space="preserve">to </w:t>
      </w:r>
      <w:r w:rsidR="00B467FC">
        <w:rPr>
          <w:rFonts w:ascii="Times New Roman" w:hAnsi="Times New Roman" w:cs="Times New Roman"/>
          <w:bCs/>
        </w:rPr>
        <w:t>5 strongly agree</w:t>
      </w:r>
      <w:r w:rsidR="0007026E">
        <w:rPr>
          <w:rFonts w:ascii="Times New Roman" w:hAnsi="Times New Roman" w:cs="Times New Roman"/>
          <w:bCs/>
        </w:rPr>
        <w:t>) along the</w:t>
      </w:r>
      <w:r w:rsidR="00B467FC">
        <w:rPr>
          <w:rFonts w:ascii="Times New Roman" w:hAnsi="Times New Roman" w:cs="Times New Roman"/>
          <w:bCs/>
        </w:rPr>
        <w:t xml:space="preserve"> following seven variables: substance, communication, needs, pertinence,</w:t>
      </w:r>
      <w:r w:rsidR="00A83B69">
        <w:rPr>
          <w:rFonts w:ascii="Times New Roman" w:hAnsi="Times New Roman" w:cs="Times New Roman"/>
          <w:bCs/>
        </w:rPr>
        <w:t xml:space="preserve"> reach, ease and suitability. A</w:t>
      </w:r>
      <w:r w:rsidR="00B467FC">
        <w:rPr>
          <w:rFonts w:ascii="Times New Roman" w:hAnsi="Times New Roman" w:cs="Times New Roman"/>
          <w:bCs/>
        </w:rPr>
        <w:t xml:space="preserve"> </w:t>
      </w:r>
      <w:r w:rsidR="004B2202">
        <w:rPr>
          <w:rFonts w:ascii="Times New Roman" w:hAnsi="Times New Roman" w:cs="Times New Roman"/>
          <w:bCs/>
        </w:rPr>
        <w:t>“</w:t>
      </w:r>
      <w:r w:rsidR="00B467FC">
        <w:rPr>
          <w:rFonts w:ascii="Times New Roman" w:hAnsi="Times New Roman" w:cs="Times New Roman"/>
          <w:bCs/>
        </w:rPr>
        <w:t>Not Applicable</w:t>
      </w:r>
      <w:r w:rsidR="004B2202">
        <w:rPr>
          <w:rFonts w:ascii="Times New Roman" w:hAnsi="Times New Roman" w:cs="Times New Roman"/>
          <w:bCs/>
        </w:rPr>
        <w:t>”</w:t>
      </w:r>
      <w:r w:rsidR="00B467FC">
        <w:rPr>
          <w:rFonts w:ascii="Times New Roman" w:hAnsi="Times New Roman" w:cs="Times New Roman"/>
          <w:bCs/>
        </w:rPr>
        <w:t xml:space="preserve"> (NA) option was provided</w:t>
      </w:r>
      <w:r w:rsidR="0007026E">
        <w:rPr>
          <w:rFonts w:ascii="Times New Roman" w:hAnsi="Times New Roman" w:cs="Times New Roman"/>
          <w:bCs/>
        </w:rPr>
        <w:t xml:space="preserve">.  In addition, </w:t>
      </w:r>
      <w:r w:rsidR="00B467FC">
        <w:rPr>
          <w:rFonts w:ascii="Times New Roman" w:hAnsi="Times New Roman" w:cs="Times New Roman"/>
          <w:bCs/>
        </w:rPr>
        <w:t>participants were invited to provide</w:t>
      </w:r>
      <w:r w:rsidR="0007026E">
        <w:rPr>
          <w:rFonts w:ascii="Times New Roman" w:hAnsi="Times New Roman" w:cs="Times New Roman"/>
          <w:bCs/>
        </w:rPr>
        <w:t xml:space="preserve"> written</w:t>
      </w:r>
      <w:r w:rsidR="00B467FC">
        <w:rPr>
          <w:rFonts w:ascii="Times New Roman" w:hAnsi="Times New Roman" w:cs="Times New Roman"/>
          <w:bCs/>
        </w:rPr>
        <w:t xml:space="preserve"> comments on each of the seven variables. </w:t>
      </w:r>
    </w:p>
    <w:p w14:paraId="27A930E9" w14:textId="20C6146B" w:rsidR="003568AD" w:rsidRDefault="00B467FC" w:rsidP="00E25A3A">
      <w:pPr>
        <w:rPr>
          <w:rFonts w:ascii="Times New Roman" w:hAnsi="Times New Roman" w:cs="Times New Roman"/>
          <w:bCs/>
        </w:rPr>
        <w:sectPr w:rsidR="003568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</w:rPr>
        <w:t>Table 1 illustrates the data gathered during the months of July, August and September</w:t>
      </w:r>
      <w:r w:rsidR="0007026E">
        <w:rPr>
          <w:rFonts w:ascii="Times New Roman" w:hAnsi="Times New Roman" w:cs="Times New Roman"/>
          <w:bCs/>
        </w:rPr>
        <w:t xml:space="preserve">.  These data </w:t>
      </w:r>
      <w:r>
        <w:rPr>
          <w:rFonts w:ascii="Times New Roman" w:hAnsi="Times New Roman" w:cs="Times New Roman"/>
          <w:bCs/>
        </w:rPr>
        <w:t>inform</w:t>
      </w:r>
      <w:r w:rsidR="0007026E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</w:t>
      </w:r>
      <w:r w:rsidR="0007026E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revisions</w:t>
      </w:r>
      <w:r w:rsidR="00CB028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1794F4E" w14:textId="1458A471" w:rsidR="003568AD" w:rsidRPr="00B467FC" w:rsidRDefault="003568AD" w:rsidP="00E25A3A">
      <w:pPr>
        <w:rPr>
          <w:rFonts w:ascii="Times New Roman" w:hAnsi="Times New Roman" w:cs="Times New Roman"/>
          <w:bCs/>
        </w:rPr>
      </w:pPr>
    </w:p>
    <w:p w14:paraId="79DAFA00" w14:textId="3BBBBC5E" w:rsidR="003568AD" w:rsidRDefault="008F704F" w:rsidP="00E25A3A">
      <w:pPr>
        <w:rPr>
          <w:rFonts w:ascii="Times New Roman" w:hAnsi="Times New Roman" w:cs="Times New Roman"/>
          <w:bCs/>
        </w:rPr>
        <w:sectPr w:rsidR="003568AD" w:rsidSect="003568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  <w:noProof/>
        </w:rPr>
        <w:drawing>
          <wp:inline distT="0" distB="0" distL="0" distR="0" wp14:anchorId="25402164" wp14:editId="6FB87EAD">
            <wp:extent cx="8533877" cy="5181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 a Glance (July_Aug_Sept 2019).xlsx  [Read-Only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8050" r="5532" b="22483"/>
                    <a:stretch/>
                  </pic:blipFill>
                  <pic:spPr bwMode="auto">
                    <a:xfrm>
                      <a:off x="0" y="0"/>
                      <a:ext cx="8570464" cy="520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CCC12" w14:textId="6A0A0211" w:rsidR="00E93530" w:rsidRDefault="004B2202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In</w:t>
      </w:r>
      <w:r w:rsidR="00B467FC">
        <w:rPr>
          <w:rFonts w:ascii="Times New Roman" w:hAnsi="Times New Roman" w:cs="Times New Roman"/>
          <w:bCs/>
        </w:rPr>
        <w:t xml:space="preserve"> July of 2019</w:t>
      </w:r>
      <w:r>
        <w:rPr>
          <w:rFonts w:ascii="Times New Roman" w:hAnsi="Times New Roman" w:cs="Times New Roman"/>
          <w:bCs/>
        </w:rPr>
        <w:t>,</w:t>
      </w:r>
      <w:r w:rsidR="00B467FC">
        <w:rPr>
          <w:rFonts w:ascii="Times New Roman" w:hAnsi="Times New Roman" w:cs="Times New Roman"/>
          <w:bCs/>
        </w:rPr>
        <w:t xml:space="preserve"> during the OSEP Leadership Conference</w:t>
      </w:r>
      <w:r>
        <w:rPr>
          <w:rFonts w:ascii="Times New Roman" w:hAnsi="Times New Roman" w:cs="Times New Roman"/>
          <w:bCs/>
        </w:rPr>
        <w:t xml:space="preserve">, data </w:t>
      </w:r>
      <w:r w:rsidR="0007026E">
        <w:rPr>
          <w:rFonts w:ascii="Times New Roman" w:hAnsi="Times New Roman" w:cs="Times New Roman"/>
          <w:bCs/>
        </w:rPr>
        <w:t>we</w:t>
      </w:r>
      <w:r w:rsidR="00A83B69">
        <w:rPr>
          <w:rFonts w:ascii="Times New Roman" w:hAnsi="Times New Roman" w:cs="Times New Roman"/>
          <w:bCs/>
        </w:rPr>
        <w:t>re</w:t>
      </w:r>
      <w:r>
        <w:rPr>
          <w:rFonts w:ascii="Times New Roman" w:hAnsi="Times New Roman" w:cs="Times New Roman"/>
          <w:bCs/>
        </w:rPr>
        <w:t xml:space="preserve"> gathered from 28 participants</w:t>
      </w:r>
      <w:r w:rsidR="0007026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including Part C coordinators, Part B/619 coordinators, ICC members and other early intervention staff members. </w:t>
      </w:r>
      <w:r w:rsidR="00E93530">
        <w:rPr>
          <w:rFonts w:ascii="Times New Roman" w:hAnsi="Times New Roman" w:cs="Times New Roman"/>
          <w:bCs/>
        </w:rPr>
        <w:t xml:space="preserve">Participants </w:t>
      </w:r>
      <w:r w:rsidR="0007026E">
        <w:rPr>
          <w:rFonts w:ascii="Times New Roman" w:hAnsi="Times New Roman" w:cs="Times New Roman"/>
          <w:bCs/>
        </w:rPr>
        <w:t xml:space="preserve">were asked to evaluate </w:t>
      </w:r>
      <w:r w:rsidR="00E93530">
        <w:rPr>
          <w:rFonts w:ascii="Times New Roman" w:hAnsi="Times New Roman" w:cs="Times New Roman"/>
          <w:bCs/>
        </w:rPr>
        <w:t xml:space="preserve">t both sets of briefs </w:t>
      </w:r>
      <w:r w:rsidR="0007026E">
        <w:rPr>
          <w:rFonts w:ascii="Times New Roman" w:hAnsi="Times New Roman" w:cs="Times New Roman"/>
          <w:bCs/>
        </w:rPr>
        <w:t>using</w:t>
      </w:r>
      <w:r w:rsidR="00E93530">
        <w:rPr>
          <w:rFonts w:ascii="Times New Roman" w:hAnsi="Times New Roman" w:cs="Times New Roman"/>
          <w:bCs/>
        </w:rPr>
        <w:t xml:space="preserve"> the feedback scale. </w:t>
      </w:r>
      <w:r>
        <w:rPr>
          <w:rFonts w:ascii="Times New Roman" w:hAnsi="Times New Roman" w:cs="Times New Roman"/>
          <w:bCs/>
        </w:rPr>
        <w:t>The areas of communication, needs, pertinence, reach and ease all had positive responses</w:t>
      </w:r>
      <w:r w:rsidR="0007026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with an average mean </w:t>
      </w:r>
      <w:r w:rsidR="0007026E">
        <w:rPr>
          <w:rFonts w:ascii="Times New Roman" w:hAnsi="Times New Roman" w:cs="Times New Roman"/>
          <w:bCs/>
        </w:rPr>
        <w:t xml:space="preserve">rating </w:t>
      </w:r>
      <w:r>
        <w:rPr>
          <w:rFonts w:ascii="Times New Roman" w:hAnsi="Times New Roman" w:cs="Times New Roman"/>
          <w:bCs/>
        </w:rPr>
        <w:t>of 4.04</w:t>
      </w:r>
      <w:r w:rsidR="00CF3AFF">
        <w:rPr>
          <w:rFonts w:ascii="Times New Roman" w:hAnsi="Times New Roman" w:cs="Times New Roman"/>
          <w:bCs/>
        </w:rPr>
        <w:t xml:space="preserve"> (SD= .71, .90)</w:t>
      </w:r>
      <w:r>
        <w:rPr>
          <w:rFonts w:ascii="Times New Roman" w:hAnsi="Times New Roman" w:cs="Times New Roman"/>
          <w:bCs/>
        </w:rPr>
        <w:t xml:space="preserve"> or greater. Two areas</w:t>
      </w:r>
      <w:r w:rsidR="0007026E">
        <w:rPr>
          <w:rFonts w:ascii="Times New Roman" w:hAnsi="Times New Roman" w:cs="Times New Roman"/>
          <w:bCs/>
        </w:rPr>
        <w:t>,</w:t>
      </w:r>
      <w:r w:rsidR="00CB02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substance and suitability</w:t>
      </w:r>
      <w:r w:rsidR="0007026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had mean </w:t>
      </w:r>
      <w:r w:rsidR="0007026E">
        <w:rPr>
          <w:rFonts w:ascii="Times New Roman" w:hAnsi="Times New Roman" w:cs="Times New Roman"/>
          <w:bCs/>
        </w:rPr>
        <w:t>ratings</w:t>
      </w:r>
      <w:r>
        <w:rPr>
          <w:rFonts w:ascii="Times New Roman" w:hAnsi="Times New Roman" w:cs="Times New Roman"/>
          <w:bCs/>
        </w:rPr>
        <w:t xml:space="preserve"> of 3.93</w:t>
      </w:r>
      <w:r w:rsidR="00CF3AFF">
        <w:rPr>
          <w:rFonts w:ascii="Times New Roman" w:hAnsi="Times New Roman" w:cs="Times New Roman"/>
          <w:bCs/>
        </w:rPr>
        <w:t xml:space="preserve"> (SD = .73)</w:t>
      </w:r>
      <w:r>
        <w:rPr>
          <w:rFonts w:ascii="Times New Roman" w:hAnsi="Times New Roman" w:cs="Times New Roman"/>
          <w:bCs/>
        </w:rPr>
        <w:t xml:space="preserve"> and 3.96</w:t>
      </w:r>
      <w:r w:rsidR="00CF3AFF">
        <w:rPr>
          <w:rFonts w:ascii="Times New Roman" w:hAnsi="Times New Roman" w:cs="Times New Roman"/>
          <w:bCs/>
        </w:rPr>
        <w:t xml:space="preserve"> (SD = .79)</w:t>
      </w:r>
      <w:r>
        <w:rPr>
          <w:rFonts w:ascii="Times New Roman" w:hAnsi="Times New Roman" w:cs="Times New Roman"/>
          <w:bCs/>
        </w:rPr>
        <w:t xml:space="preserve">, respectively, illustrating a neutral to positive response. Comments </w:t>
      </w:r>
      <w:r w:rsidR="00E93530">
        <w:rPr>
          <w:rFonts w:ascii="Times New Roman" w:hAnsi="Times New Roman" w:cs="Times New Roman"/>
          <w:bCs/>
        </w:rPr>
        <w:t>collected during the July review included</w:t>
      </w:r>
      <w:r w:rsidR="0007026E">
        <w:rPr>
          <w:rFonts w:ascii="Times New Roman" w:hAnsi="Times New Roman" w:cs="Times New Roman"/>
          <w:bCs/>
        </w:rPr>
        <w:t>:</w:t>
      </w:r>
      <w:r w:rsidR="00E93530">
        <w:rPr>
          <w:rFonts w:ascii="Times New Roman" w:hAnsi="Times New Roman" w:cs="Times New Roman"/>
          <w:bCs/>
        </w:rPr>
        <w:t xml:space="preserve"> participants liked the overall organization of the information</w:t>
      </w:r>
      <w:r w:rsidR="0007026E">
        <w:rPr>
          <w:rFonts w:ascii="Times New Roman" w:hAnsi="Times New Roman" w:cs="Times New Roman"/>
          <w:bCs/>
        </w:rPr>
        <w:t>;</w:t>
      </w:r>
      <w:r w:rsidR="00E93530">
        <w:rPr>
          <w:rFonts w:ascii="Times New Roman" w:hAnsi="Times New Roman" w:cs="Times New Roman"/>
          <w:bCs/>
        </w:rPr>
        <w:t xml:space="preserve"> there was a lot of information</w:t>
      </w:r>
      <w:r w:rsidR="0007026E">
        <w:rPr>
          <w:rFonts w:ascii="Times New Roman" w:hAnsi="Times New Roman" w:cs="Times New Roman"/>
          <w:bCs/>
        </w:rPr>
        <w:t>;</w:t>
      </w:r>
      <w:r w:rsidR="00E93530">
        <w:rPr>
          <w:rFonts w:ascii="Times New Roman" w:hAnsi="Times New Roman" w:cs="Times New Roman"/>
          <w:bCs/>
        </w:rPr>
        <w:t xml:space="preserve"> and request for explicit connection to the intended audience. </w:t>
      </w:r>
    </w:p>
    <w:p w14:paraId="4521749C" w14:textId="0C8BAD5D" w:rsidR="00A83B69" w:rsidRDefault="00E93530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Following the July review, ECPC </w:t>
      </w:r>
      <w:r w:rsidR="0007026E">
        <w:rPr>
          <w:rFonts w:ascii="Times New Roman" w:hAnsi="Times New Roman" w:cs="Times New Roman"/>
          <w:bCs/>
        </w:rPr>
        <w:t xml:space="preserve">asked </w:t>
      </w:r>
      <w:r>
        <w:rPr>
          <w:rFonts w:ascii="Times New Roman" w:hAnsi="Times New Roman" w:cs="Times New Roman"/>
          <w:bCs/>
        </w:rPr>
        <w:t xml:space="preserve">that reviewers </w:t>
      </w:r>
      <w:r w:rsidR="00A83B69">
        <w:rPr>
          <w:rFonts w:ascii="Times New Roman" w:hAnsi="Times New Roman" w:cs="Times New Roman"/>
          <w:bCs/>
        </w:rPr>
        <w:t xml:space="preserve">evaluate each </w:t>
      </w:r>
      <w:r>
        <w:rPr>
          <w:rFonts w:ascii="Times New Roman" w:hAnsi="Times New Roman" w:cs="Times New Roman"/>
          <w:bCs/>
        </w:rPr>
        <w:t>set of briefs</w:t>
      </w:r>
      <w:r w:rsidR="00A83B69">
        <w:rPr>
          <w:rFonts w:ascii="Times New Roman" w:hAnsi="Times New Roman" w:cs="Times New Roman"/>
          <w:bCs/>
        </w:rPr>
        <w:t xml:space="preserve"> separately</w:t>
      </w:r>
      <w:r>
        <w:rPr>
          <w:rFonts w:ascii="Times New Roman" w:hAnsi="Times New Roman" w:cs="Times New Roman"/>
          <w:bCs/>
        </w:rPr>
        <w:t xml:space="preserve">. Data </w:t>
      </w:r>
      <w:r w:rsidR="00A83B69">
        <w:rPr>
          <w:rFonts w:ascii="Times New Roman" w:hAnsi="Times New Roman" w:cs="Times New Roman"/>
          <w:bCs/>
        </w:rPr>
        <w:t xml:space="preserve">were </w:t>
      </w:r>
      <w:r>
        <w:rPr>
          <w:rFonts w:ascii="Times New Roman" w:hAnsi="Times New Roman" w:cs="Times New Roman"/>
          <w:bCs/>
        </w:rPr>
        <w:t>gathered at two ECPC events</w:t>
      </w:r>
      <w:r w:rsidR="000261B6">
        <w:rPr>
          <w:rFonts w:ascii="Times New Roman" w:hAnsi="Times New Roman" w:cs="Times New Roman"/>
          <w:bCs/>
        </w:rPr>
        <w:t>, also found in Table 1</w:t>
      </w:r>
      <w:r>
        <w:rPr>
          <w:rFonts w:ascii="Times New Roman" w:hAnsi="Times New Roman" w:cs="Times New Roman"/>
          <w:bCs/>
        </w:rPr>
        <w:t>. The first was in August at the Intensive Technical Assistance Institute in Avon, C</w:t>
      </w:r>
      <w:r w:rsidR="00A83B69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 Participants reviewing the documents included Part C coordinators, Part B/619 coordinators, IHE faculty, family members and other early intervention staff members who work in a state receiving intensive TA from ECPC to develop a C</w:t>
      </w:r>
      <w:r w:rsidR="00CC1AC7">
        <w:rPr>
          <w:rFonts w:ascii="Times New Roman" w:hAnsi="Times New Roman" w:cs="Times New Roman"/>
          <w:bCs/>
        </w:rPr>
        <w:t xml:space="preserve">omprehensive </w:t>
      </w:r>
      <w:r>
        <w:rPr>
          <w:rFonts w:ascii="Times New Roman" w:hAnsi="Times New Roman" w:cs="Times New Roman"/>
          <w:bCs/>
        </w:rPr>
        <w:t>S</w:t>
      </w:r>
      <w:r w:rsidR="00CC1AC7">
        <w:rPr>
          <w:rFonts w:ascii="Times New Roman" w:hAnsi="Times New Roman" w:cs="Times New Roman"/>
          <w:bCs/>
        </w:rPr>
        <w:t xml:space="preserve">ystem of </w:t>
      </w:r>
      <w:r>
        <w:rPr>
          <w:rFonts w:ascii="Times New Roman" w:hAnsi="Times New Roman" w:cs="Times New Roman"/>
          <w:bCs/>
        </w:rPr>
        <w:t>P</w:t>
      </w:r>
      <w:r w:rsidR="00CC1AC7">
        <w:rPr>
          <w:rFonts w:ascii="Times New Roman" w:hAnsi="Times New Roman" w:cs="Times New Roman"/>
          <w:bCs/>
        </w:rPr>
        <w:t xml:space="preserve">ersonnel </w:t>
      </w:r>
      <w:r>
        <w:rPr>
          <w:rFonts w:ascii="Times New Roman" w:hAnsi="Times New Roman" w:cs="Times New Roman"/>
          <w:bCs/>
        </w:rPr>
        <w:t>D</w:t>
      </w:r>
      <w:r w:rsidR="00CC1AC7">
        <w:rPr>
          <w:rFonts w:ascii="Times New Roman" w:hAnsi="Times New Roman" w:cs="Times New Roman"/>
          <w:bCs/>
        </w:rPr>
        <w:t>evelopment (CSPD)</w:t>
      </w:r>
      <w:r>
        <w:rPr>
          <w:rFonts w:ascii="Times New Roman" w:hAnsi="Times New Roman" w:cs="Times New Roman"/>
          <w:bCs/>
        </w:rPr>
        <w:t xml:space="preserve">. The second event, held in September, was the ECPC Doctoral Student Institute in Avon, CT. Participants reviewing the documents were </w:t>
      </w:r>
      <w:r w:rsidR="00A83B69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octoral </w:t>
      </w:r>
      <w:r w:rsidR="00A83B69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tudents. </w:t>
      </w:r>
    </w:p>
    <w:p w14:paraId="0EF06B35" w14:textId="07BA49FE" w:rsidR="008F704F" w:rsidRDefault="00E93530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following </w:t>
      </w:r>
      <w:r w:rsidR="00A83B69">
        <w:rPr>
          <w:rFonts w:ascii="Times New Roman" w:hAnsi="Times New Roman" w:cs="Times New Roman"/>
          <w:bCs/>
        </w:rPr>
        <w:t xml:space="preserve">section </w:t>
      </w:r>
      <w:r>
        <w:rPr>
          <w:rFonts w:ascii="Times New Roman" w:hAnsi="Times New Roman" w:cs="Times New Roman"/>
          <w:bCs/>
        </w:rPr>
        <w:t>presents a summary of each set of brief</w:t>
      </w:r>
      <w:r w:rsidR="00A83B6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with combined statements from the August and September</w:t>
      </w:r>
      <w:r w:rsidR="00A83B69">
        <w:rPr>
          <w:rFonts w:ascii="Times New Roman" w:hAnsi="Times New Roman" w:cs="Times New Roman"/>
          <w:bCs/>
        </w:rPr>
        <w:t xml:space="preserve"> groups</w:t>
      </w:r>
      <w:r>
        <w:rPr>
          <w:rFonts w:ascii="Times New Roman" w:hAnsi="Times New Roman" w:cs="Times New Roman"/>
          <w:bCs/>
        </w:rPr>
        <w:t>.</w:t>
      </w:r>
      <w:r w:rsidR="008619A4">
        <w:rPr>
          <w:rFonts w:ascii="Times New Roman" w:hAnsi="Times New Roman" w:cs="Times New Roman"/>
          <w:bCs/>
        </w:rPr>
        <w:t xml:space="preserve"> </w:t>
      </w:r>
    </w:p>
    <w:p w14:paraId="51C448C5" w14:textId="51A53378" w:rsidR="00157C62" w:rsidRDefault="00ED1F9D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Feedback from the two groups</w:t>
      </w:r>
      <w:r w:rsidR="00CF3AFF">
        <w:rPr>
          <w:rFonts w:ascii="Times New Roman" w:hAnsi="Times New Roman" w:cs="Times New Roman"/>
          <w:bCs/>
        </w:rPr>
        <w:t xml:space="preserve"> (N= 29)</w:t>
      </w:r>
      <w:r>
        <w:rPr>
          <w:rFonts w:ascii="Times New Roman" w:hAnsi="Times New Roman" w:cs="Times New Roman"/>
          <w:bCs/>
        </w:rPr>
        <w:t xml:space="preserve"> on the Core Elements of Technical Assistance Briefs were all positive</w:t>
      </w:r>
      <w:r w:rsidR="00A83B69">
        <w:rPr>
          <w:rFonts w:ascii="Times New Roman" w:hAnsi="Times New Roman" w:cs="Times New Roman"/>
          <w:bCs/>
        </w:rPr>
        <w:t>, demonstrated by</w:t>
      </w:r>
      <w:r>
        <w:rPr>
          <w:rFonts w:ascii="Times New Roman" w:hAnsi="Times New Roman" w:cs="Times New Roman"/>
          <w:bCs/>
        </w:rPr>
        <w:t xml:space="preserve"> the mean for each of the six areas</w:t>
      </w:r>
      <w:r w:rsidR="00A83B6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across both groups </w:t>
      </w:r>
      <w:bookmarkStart w:id="0" w:name="_GoBack"/>
      <w:bookmarkEnd w:id="0"/>
      <w:r>
        <w:rPr>
          <w:rFonts w:ascii="Times New Roman" w:hAnsi="Times New Roman" w:cs="Times New Roman"/>
          <w:bCs/>
        </w:rPr>
        <w:t>ranged from 4.0</w:t>
      </w:r>
      <w:r w:rsidR="00A83B69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="00157C62">
        <w:rPr>
          <w:rFonts w:ascii="Times New Roman" w:hAnsi="Times New Roman" w:cs="Times New Roman"/>
          <w:bCs/>
        </w:rPr>
        <w:t xml:space="preserve">(SD = .77) </w:t>
      </w:r>
      <w:r>
        <w:rPr>
          <w:rFonts w:ascii="Times New Roman" w:hAnsi="Times New Roman" w:cs="Times New Roman"/>
          <w:bCs/>
        </w:rPr>
        <w:t>to 4.64</w:t>
      </w:r>
      <w:r w:rsidR="00157C62">
        <w:rPr>
          <w:rFonts w:ascii="Times New Roman" w:hAnsi="Times New Roman" w:cs="Times New Roman"/>
          <w:bCs/>
        </w:rPr>
        <w:t xml:space="preserve"> (SD = .50). There was one exception in the August group</w:t>
      </w:r>
      <w:r w:rsidR="00A83B69">
        <w:rPr>
          <w:rFonts w:ascii="Times New Roman" w:hAnsi="Times New Roman" w:cs="Times New Roman"/>
          <w:bCs/>
        </w:rPr>
        <w:t>,</w:t>
      </w:r>
      <w:r w:rsidR="00157C62">
        <w:rPr>
          <w:rFonts w:ascii="Times New Roman" w:hAnsi="Times New Roman" w:cs="Times New Roman"/>
          <w:bCs/>
        </w:rPr>
        <w:t xml:space="preserve"> with the variable of </w:t>
      </w:r>
      <w:r w:rsidR="00A83B69">
        <w:rPr>
          <w:rFonts w:ascii="Times New Roman" w:hAnsi="Times New Roman" w:cs="Times New Roman"/>
          <w:bCs/>
        </w:rPr>
        <w:t>Reach or addressing diverse audiences having a mean rating of</w:t>
      </w:r>
      <w:r w:rsidR="00157C62">
        <w:rPr>
          <w:rFonts w:ascii="Times New Roman" w:hAnsi="Times New Roman" w:cs="Times New Roman"/>
          <w:bCs/>
        </w:rPr>
        <w:t xml:space="preserve"> 3.94 (SD = .73).</w:t>
      </w:r>
      <w:r w:rsidR="00CF3AFF">
        <w:rPr>
          <w:rFonts w:ascii="Times New Roman" w:hAnsi="Times New Roman" w:cs="Times New Roman"/>
          <w:bCs/>
        </w:rPr>
        <w:t xml:space="preserve"> Comments from the group</w:t>
      </w:r>
      <w:r w:rsidR="008619A4">
        <w:rPr>
          <w:rFonts w:ascii="Times New Roman" w:hAnsi="Times New Roman" w:cs="Times New Roman"/>
          <w:bCs/>
        </w:rPr>
        <w:t xml:space="preserve"> were focused on the color schemes, formatting and need</w:t>
      </w:r>
      <w:r w:rsidR="00A83B69">
        <w:rPr>
          <w:rFonts w:ascii="Times New Roman" w:hAnsi="Times New Roman" w:cs="Times New Roman"/>
          <w:bCs/>
        </w:rPr>
        <w:t>.</w:t>
      </w:r>
      <w:r w:rsidR="008619A4">
        <w:rPr>
          <w:rFonts w:ascii="Times New Roman" w:hAnsi="Times New Roman" w:cs="Times New Roman"/>
          <w:bCs/>
        </w:rPr>
        <w:t xml:space="preserve"> </w:t>
      </w:r>
    </w:p>
    <w:p w14:paraId="0ECE5336" w14:textId="0E8DE717" w:rsidR="00FB194E" w:rsidRDefault="00157C62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Feedback from the two groups</w:t>
      </w:r>
      <w:r w:rsidR="00CF3AFF">
        <w:rPr>
          <w:rFonts w:ascii="Times New Roman" w:hAnsi="Times New Roman" w:cs="Times New Roman"/>
          <w:bCs/>
        </w:rPr>
        <w:t xml:space="preserve"> (N=36)</w:t>
      </w:r>
      <w:r>
        <w:rPr>
          <w:rFonts w:ascii="Times New Roman" w:hAnsi="Times New Roman" w:cs="Times New Roman"/>
          <w:bCs/>
        </w:rPr>
        <w:t xml:space="preserve"> on the Core Practices for Pre-Service Personnel Preparation similarly demonstrated positive agreement with the six </w:t>
      </w:r>
      <w:r w:rsidR="00A83B69">
        <w:rPr>
          <w:rFonts w:ascii="Times New Roman" w:hAnsi="Times New Roman" w:cs="Times New Roman"/>
          <w:bCs/>
        </w:rPr>
        <w:t>areas. For most of the areas, t</w:t>
      </w:r>
      <w:r w:rsidR="0033118B">
        <w:rPr>
          <w:rFonts w:ascii="Times New Roman" w:hAnsi="Times New Roman" w:cs="Times New Roman"/>
          <w:bCs/>
        </w:rPr>
        <w:t xml:space="preserve">he mean score ranged </w:t>
      </w:r>
      <w:r w:rsidR="00A83B69">
        <w:rPr>
          <w:rFonts w:ascii="Times New Roman" w:hAnsi="Times New Roman" w:cs="Times New Roman"/>
          <w:bCs/>
        </w:rPr>
        <w:t xml:space="preserve">from </w:t>
      </w:r>
      <w:r w:rsidR="0033118B">
        <w:rPr>
          <w:rFonts w:ascii="Times New Roman" w:hAnsi="Times New Roman" w:cs="Times New Roman"/>
          <w:bCs/>
        </w:rPr>
        <w:t xml:space="preserve">4.08 (SD = .70) to 4.82 (SD = .40). Two elements were an average rating of high neutral, </w:t>
      </w:r>
      <w:r w:rsidR="00CF3AFF">
        <w:rPr>
          <w:rFonts w:ascii="Times New Roman" w:hAnsi="Times New Roman" w:cs="Times New Roman"/>
          <w:bCs/>
        </w:rPr>
        <w:t>C</w:t>
      </w:r>
      <w:r w:rsidR="0033118B">
        <w:rPr>
          <w:rFonts w:ascii="Times New Roman" w:hAnsi="Times New Roman" w:cs="Times New Roman"/>
          <w:bCs/>
        </w:rPr>
        <w:t>ommunication</w:t>
      </w:r>
      <w:r w:rsidR="00A83B69">
        <w:rPr>
          <w:rFonts w:ascii="Times New Roman" w:hAnsi="Times New Roman" w:cs="Times New Roman"/>
          <w:bCs/>
        </w:rPr>
        <w:t>, with a</w:t>
      </w:r>
      <w:r w:rsidR="0033118B">
        <w:rPr>
          <w:rFonts w:ascii="Times New Roman" w:hAnsi="Times New Roman" w:cs="Times New Roman"/>
          <w:bCs/>
        </w:rPr>
        <w:t xml:space="preserve"> mean of 3.8</w:t>
      </w:r>
      <w:r w:rsidR="00CF3AFF">
        <w:rPr>
          <w:rFonts w:ascii="Times New Roman" w:hAnsi="Times New Roman" w:cs="Times New Roman"/>
          <w:bCs/>
        </w:rPr>
        <w:t xml:space="preserve"> (SD = .91)</w:t>
      </w:r>
      <w:r w:rsidR="0033118B">
        <w:rPr>
          <w:rFonts w:ascii="Times New Roman" w:hAnsi="Times New Roman" w:cs="Times New Roman"/>
          <w:bCs/>
        </w:rPr>
        <w:t xml:space="preserve"> and </w:t>
      </w:r>
      <w:r w:rsidR="00CF3AFF">
        <w:rPr>
          <w:rFonts w:ascii="Times New Roman" w:hAnsi="Times New Roman" w:cs="Times New Roman"/>
          <w:bCs/>
        </w:rPr>
        <w:t>R</w:t>
      </w:r>
      <w:r w:rsidR="0033118B">
        <w:rPr>
          <w:rFonts w:ascii="Times New Roman" w:hAnsi="Times New Roman" w:cs="Times New Roman"/>
          <w:bCs/>
        </w:rPr>
        <w:t xml:space="preserve">each with a </w:t>
      </w:r>
      <w:r w:rsidR="00A83B69">
        <w:rPr>
          <w:rFonts w:ascii="Times New Roman" w:hAnsi="Times New Roman" w:cs="Times New Roman"/>
          <w:bCs/>
        </w:rPr>
        <w:t xml:space="preserve">mean of </w:t>
      </w:r>
      <w:r w:rsidR="0033118B">
        <w:rPr>
          <w:rFonts w:ascii="Times New Roman" w:hAnsi="Times New Roman" w:cs="Times New Roman"/>
          <w:bCs/>
        </w:rPr>
        <w:t>3.84</w:t>
      </w:r>
      <w:r w:rsidR="00CF3AFF">
        <w:rPr>
          <w:rFonts w:ascii="Times New Roman" w:hAnsi="Times New Roman" w:cs="Times New Roman"/>
          <w:bCs/>
        </w:rPr>
        <w:t xml:space="preserve"> (</w:t>
      </w:r>
      <w:r w:rsidR="00A83B69">
        <w:rPr>
          <w:rFonts w:ascii="Times New Roman" w:hAnsi="Times New Roman" w:cs="Times New Roman"/>
          <w:bCs/>
        </w:rPr>
        <w:t xml:space="preserve">SD = </w:t>
      </w:r>
      <w:r w:rsidR="00CF3AFF">
        <w:rPr>
          <w:rFonts w:ascii="Times New Roman" w:hAnsi="Times New Roman" w:cs="Times New Roman"/>
          <w:bCs/>
        </w:rPr>
        <w:t xml:space="preserve">.90). Comments from this </w:t>
      </w:r>
      <w:r w:rsidR="00A21564">
        <w:rPr>
          <w:rFonts w:ascii="Times New Roman" w:hAnsi="Times New Roman" w:cs="Times New Roman"/>
          <w:bCs/>
        </w:rPr>
        <w:t>set of briefs w</w:t>
      </w:r>
      <w:r w:rsidR="00A83B69">
        <w:rPr>
          <w:rFonts w:ascii="Times New Roman" w:hAnsi="Times New Roman" w:cs="Times New Roman"/>
          <w:bCs/>
        </w:rPr>
        <w:t>ere consistent with those from the July reviewer</w:t>
      </w:r>
      <w:r w:rsidR="00A21564">
        <w:rPr>
          <w:rFonts w:ascii="Times New Roman" w:hAnsi="Times New Roman" w:cs="Times New Roman"/>
          <w:bCs/>
        </w:rPr>
        <w:t>s</w:t>
      </w:r>
      <w:r w:rsidR="00A83B69">
        <w:rPr>
          <w:rFonts w:ascii="Times New Roman" w:hAnsi="Times New Roman" w:cs="Times New Roman"/>
          <w:bCs/>
        </w:rPr>
        <w:t xml:space="preserve">.  The August </w:t>
      </w:r>
      <w:r w:rsidR="00A21564">
        <w:rPr>
          <w:rFonts w:ascii="Times New Roman" w:hAnsi="Times New Roman" w:cs="Times New Roman"/>
          <w:bCs/>
        </w:rPr>
        <w:t xml:space="preserve">participants liked the briefs and their organization; however, they requested information regarding the audience, table/graph suggestions, and clarifying language to describe some of the practices in the briefs.  </w:t>
      </w:r>
      <w:r w:rsidR="0033118B">
        <w:rPr>
          <w:rFonts w:ascii="Times New Roman" w:hAnsi="Times New Roman" w:cs="Times New Roman"/>
          <w:bCs/>
        </w:rPr>
        <w:t xml:space="preserve"> </w:t>
      </w:r>
    </w:p>
    <w:p w14:paraId="579DBA4E" w14:textId="77777777" w:rsidR="00FB194E" w:rsidRDefault="00FB194E" w:rsidP="00E25A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With the feedback provided from the three groups the following edits were made to each set of briefs:</w:t>
      </w:r>
    </w:p>
    <w:p w14:paraId="1BB902A5" w14:textId="2D2029E0" w:rsidR="00ED1F9D" w:rsidRDefault="00FB194E" w:rsidP="00FB1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Technical language was edited to more pragmatic language. The overview of the study was edited to read more easily by practitioners. Definitions were added to clarify practices. </w:t>
      </w:r>
    </w:p>
    <w:p w14:paraId="6EF64A88" w14:textId="079D4B46" w:rsidR="00FB194E" w:rsidRDefault="00FB194E" w:rsidP="00FB1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purpose was edited to improve the connection to reflect the audience of ECI practitioners.</w:t>
      </w:r>
    </w:p>
    <w:p w14:paraId="23A55F81" w14:textId="385D7B38" w:rsidR="00FB194E" w:rsidRDefault="00FB194E" w:rsidP="00FB1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Edits made to grammar, formatting of tables, different graphics to display practices more clearly and succinctly.</w:t>
      </w:r>
    </w:p>
    <w:p w14:paraId="754CF56C" w14:textId="23C63ACC" w:rsidR="00FB194E" w:rsidRPr="00FB194E" w:rsidRDefault="00FB194E" w:rsidP="00FB19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next set of reviews will be completed at the ECPC preconference at the 2019 October DEC Conference.</w:t>
      </w:r>
    </w:p>
    <w:p w14:paraId="4865ECA0" w14:textId="77777777" w:rsidR="00E93530" w:rsidRPr="00B467FC" w:rsidRDefault="00E93530" w:rsidP="00E25A3A">
      <w:pPr>
        <w:rPr>
          <w:rFonts w:ascii="Times New Roman" w:hAnsi="Times New Roman" w:cs="Times New Roman"/>
          <w:bCs/>
        </w:rPr>
      </w:pPr>
    </w:p>
    <w:p w14:paraId="1A5CCD7A" w14:textId="597177B5" w:rsidR="008F704F" w:rsidRDefault="008F704F" w:rsidP="00E25A3A">
      <w:pPr>
        <w:rPr>
          <w:bCs/>
        </w:rPr>
      </w:pPr>
    </w:p>
    <w:p w14:paraId="3341B530" w14:textId="33683D70" w:rsidR="00FB194E" w:rsidRDefault="00FB194E" w:rsidP="008F704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References</w:t>
      </w:r>
    </w:p>
    <w:p w14:paraId="31D23FA0" w14:textId="6EFE77AA" w:rsidR="008F704F" w:rsidRDefault="008F704F" w:rsidP="008F704F">
      <w:pPr>
        <w:rPr>
          <w:rFonts w:ascii="Times New Roman" w:hAnsi="Times New Roman" w:cs="Times New Roman"/>
          <w:bCs/>
        </w:rPr>
      </w:pPr>
      <w:r w:rsidRPr="008F704F">
        <w:rPr>
          <w:rFonts w:ascii="Times New Roman" w:hAnsi="Times New Roman" w:cs="Times New Roman"/>
          <w:bCs/>
        </w:rPr>
        <w:t xml:space="preserve">Dunst, C., Hamby, D., Howse, R., Wilkie, H., &amp; Annas, K. (2019). Metasynthesis of preservice professional preparation and teacher education research studies, </w:t>
      </w:r>
      <w:r w:rsidRPr="008F704F">
        <w:rPr>
          <w:rFonts w:ascii="Times New Roman" w:hAnsi="Times New Roman" w:cs="Times New Roman"/>
          <w:bCs/>
          <w:i/>
          <w:iCs/>
        </w:rPr>
        <w:t>Education Sciences</w:t>
      </w:r>
      <w:r w:rsidRPr="008F704F">
        <w:rPr>
          <w:rFonts w:ascii="Times New Roman" w:hAnsi="Times New Roman" w:cs="Times New Roman"/>
          <w:bCs/>
        </w:rPr>
        <w:t xml:space="preserve">, 9(50), 1-36. </w:t>
      </w:r>
    </w:p>
    <w:p w14:paraId="24769123" w14:textId="410ADBA6" w:rsidR="00CC1AC7" w:rsidRPr="00CC1AC7" w:rsidRDefault="008F704F" w:rsidP="00CC1AC7">
      <w:pPr>
        <w:rPr>
          <w:rFonts w:ascii="Times New Roman" w:hAnsi="Times New Roman" w:cs="Times New Roman"/>
          <w:i/>
          <w:iCs/>
        </w:rPr>
      </w:pPr>
      <w:r w:rsidRPr="008F704F">
        <w:rPr>
          <w:rFonts w:ascii="Times New Roman" w:hAnsi="Times New Roman" w:cs="Times New Roman"/>
          <w:bCs/>
        </w:rPr>
        <w:t xml:space="preserve">Dunst, C. J., Annas, K., Wilkie, H., &amp; Hamby, D. W. (2018). </w:t>
      </w:r>
      <w:r w:rsidRPr="00CC1AC7">
        <w:rPr>
          <w:rFonts w:ascii="Times New Roman" w:hAnsi="Times New Roman" w:cs="Times New Roman"/>
          <w:bCs/>
        </w:rPr>
        <w:t>Review of Studies and Evaluations of the Effects of Technical Assistance on Program, Organization, and Systems Change</w:t>
      </w:r>
      <w:r w:rsidR="00CC1AC7">
        <w:rPr>
          <w:rFonts w:ascii="Times New Roman" w:hAnsi="Times New Roman" w:cs="Times New Roman"/>
          <w:bCs/>
        </w:rPr>
        <w:t xml:space="preserve">, </w:t>
      </w:r>
      <w:r w:rsidR="00CC1AC7" w:rsidRPr="00CC1AC7">
        <w:rPr>
          <w:rFonts w:ascii="Times New Roman" w:hAnsi="Times New Roman" w:cs="Times New Roman"/>
          <w:i/>
          <w:iCs/>
        </w:rPr>
        <w:t>International Journal of Evaluation and Research in Education (IJERE)</w:t>
      </w:r>
      <w:r w:rsidR="00CC1AC7">
        <w:rPr>
          <w:rFonts w:ascii="Times New Roman" w:hAnsi="Times New Roman" w:cs="Times New Roman"/>
          <w:i/>
          <w:iCs/>
        </w:rPr>
        <w:t>, 8(2), 330-343.</w:t>
      </w:r>
      <w:r w:rsidR="00CC1AC7" w:rsidRPr="00CC1AC7">
        <w:rPr>
          <w:rFonts w:ascii="Times New Roman" w:hAnsi="Times New Roman" w:cs="Times New Roman"/>
          <w:i/>
          <w:iCs/>
        </w:rPr>
        <w:t xml:space="preserve"> </w:t>
      </w:r>
    </w:p>
    <w:p w14:paraId="2A75AD6C" w14:textId="58993F41" w:rsidR="008F704F" w:rsidRPr="008F704F" w:rsidRDefault="00CC1AC7" w:rsidP="00CC1AC7">
      <w:pPr>
        <w:rPr>
          <w:rFonts w:ascii="Times New Roman" w:hAnsi="Times New Roman" w:cs="Times New Roman"/>
          <w:bCs/>
        </w:rPr>
      </w:pPr>
      <w:r w:rsidRPr="00CC1AC7">
        <w:rPr>
          <w:rFonts w:ascii="Times New Roman" w:hAnsi="Times New Roman" w:cs="Times New Roman"/>
          <w:bCs/>
        </w:rPr>
        <w:t xml:space="preserve"> </w:t>
      </w:r>
    </w:p>
    <w:p w14:paraId="3C14B78B" w14:textId="77777777" w:rsidR="008F704F" w:rsidRPr="00E25A3A" w:rsidRDefault="008F704F" w:rsidP="00E25A3A">
      <w:pPr>
        <w:rPr>
          <w:bCs/>
        </w:rPr>
      </w:pPr>
    </w:p>
    <w:sectPr w:rsidR="008F704F" w:rsidRPr="00E2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7A03" w14:textId="77777777" w:rsidR="00CF1A63" w:rsidRDefault="00CF1A63" w:rsidP="00FB0370">
      <w:pPr>
        <w:spacing w:after="0" w:line="240" w:lineRule="auto"/>
      </w:pPr>
      <w:r>
        <w:separator/>
      </w:r>
    </w:p>
  </w:endnote>
  <w:endnote w:type="continuationSeparator" w:id="0">
    <w:p w14:paraId="67C184D9" w14:textId="77777777" w:rsidR="00CF1A63" w:rsidRDefault="00CF1A63" w:rsidP="00FB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39BE" w14:textId="5B7FCD9E" w:rsidR="00FB0370" w:rsidRPr="00D40BB1" w:rsidRDefault="00FB037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Times New Roman" w:hAnsi="Times New Roman" w:cs="Times New Roman"/>
        <w:noProof/>
        <w:color w:val="404040" w:themeColor="text1" w:themeTint="BF"/>
      </w:rPr>
    </w:pPr>
    <w:r w:rsidRPr="00D40BB1">
      <w:rPr>
        <w:rFonts w:ascii="Times New Roman" w:hAnsi="Times New Roman" w:cs="Times New Roman"/>
        <w:noProof/>
        <w:color w:val="404040" w:themeColor="text1" w:themeTint="BF"/>
      </w:rPr>
      <w:fldChar w:fldCharType="begin"/>
    </w:r>
    <w:r w:rsidRPr="00D40BB1">
      <w:rPr>
        <w:rFonts w:ascii="Times New Roman" w:hAnsi="Times New Roman" w:cs="Times New Roman"/>
        <w:noProof/>
        <w:color w:val="404040" w:themeColor="text1" w:themeTint="BF"/>
      </w:rPr>
      <w:instrText xml:space="preserve"> PAGE   \* MERGEFORMAT </w:instrText>
    </w:r>
    <w:r w:rsidRPr="00D40BB1">
      <w:rPr>
        <w:rFonts w:ascii="Times New Roman" w:hAnsi="Times New Roman" w:cs="Times New Roman"/>
        <w:noProof/>
        <w:color w:val="404040" w:themeColor="text1" w:themeTint="BF"/>
      </w:rPr>
      <w:fldChar w:fldCharType="separate"/>
    </w:r>
    <w:r w:rsidR="00EA7332">
      <w:rPr>
        <w:rFonts w:ascii="Times New Roman" w:hAnsi="Times New Roman" w:cs="Times New Roman"/>
        <w:noProof/>
        <w:color w:val="404040" w:themeColor="text1" w:themeTint="BF"/>
      </w:rPr>
      <w:t>4</w:t>
    </w:r>
    <w:r w:rsidRPr="00D40BB1">
      <w:rPr>
        <w:rFonts w:ascii="Times New Roman" w:hAnsi="Times New Roman" w:cs="Times New Roman"/>
        <w:noProof/>
        <w:color w:val="404040" w:themeColor="text1" w:themeTint="BF"/>
      </w:rPr>
      <w:fldChar w:fldCharType="end"/>
    </w:r>
  </w:p>
  <w:p w14:paraId="06BA2311" w14:textId="77777777" w:rsidR="00FB0370" w:rsidRDefault="00FB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B962" w14:textId="77777777" w:rsidR="00CF1A63" w:rsidRDefault="00CF1A63" w:rsidP="00FB0370">
      <w:pPr>
        <w:spacing w:after="0" w:line="240" w:lineRule="auto"/>
      </w:pPr>
      <w:r>
        <w:separator/>
      </w:r>
    </w:p>
  </w:footnote>
  <w:footnote w:type="continuationSeparator" w:id="0">
    <w:p w14:paraId="6618656E" w14:textId="77777777" w:rsidR="00CF1A63" w:rsidRDefault="00CF1A63" w:rsidP="00FB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FB6"/>
    <w:multiLevelType w:val="hybridMultilevel"/>
    <w:tmpl w:val="9E26A7DE"/>
    <w:lvl w:ilvl="0" w:tplc="9952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6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A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A8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88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6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6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C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E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001C54"/>
    <w:multiLevelType w:val="hybridMultilevel"/>
    <w:tmpl w:val="F736709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0"/>
    <w:rsid w:val="000261B6"/>
    <w:rsid w:val="000404DA"/>
    <w:rsid w:val="0004186D"/>
    <w:rsid w:val="0007026E"/>
    <w:rsid w:val="00076893"/>
    <w:rsid w:val="00086B5F"/>
    <w:rsid w:val="000B69CA"/>
    <w:rsid w:val="001442AC"/>
    <w:rsid w:val="0015213A"/>
    <w:rsid w:val="001537C7"/>
    <w:rsid w:val="00157C62"/>
    <w:rsid w:val="001E26CB"/>
    <w:rsid w:val="00241D40"/>
    <w:rsid w:val="002645FC"/>
    <w:rsid w:val="002846F3"/>
    <w:rsid w:val="00295C35"/>
    <w:rsid w:val="002F0094"/>
    <w:rsid w:val="002F1196"/>
    <w:rsid w:val="00304304"/>
    <w:rsid w:val="0031403C"/>
    <w:rsid w:val="0033118B"/>
    <w:rsid w:val="00344492"/>
    <w:rsid w:val="003568AD"/>
    <w:rsid w:val="00394589"/>
    <w:rsid w:val="0048357D"/>
    <w:rsid w:val="00495595"/>
    <w:rsid w:val="004B2202"/>
    <w:rsid w:val="004B6BA4"/>
    <w:rsid w:val="004E1865"/>
    <w:rsid w:val="005235FA"/>
    <w:rsid w:val="005A680B"/>
    <w:rsid w:val="00613720"/>
    <w:rsid w:val="0068004B"/>
    <w:rsid w:val="006B2BE7"/>
    <w:rsid w:val="007A4E96"/>
    <w:rsid w:val="00837218"/>
    <w:rsid w:val="008619A4"/>
    <w:rsid w:val="00883294"/>
    <w:rsid w:val="008B2D35"/>
    <w:rsid w:val="008C3EF9"/>
    <w:rsid w:val="008F704F"/>
    <w:rsid w:val="00934F93"/>
    <w:rsid w:val="00943DAF"/>
    <w:rsid w:val="009F26BB"/>
    <w:rsid w:val="00A21564"/>
    <w:rsid w:val="00A71BFC"/>
    <w:rsid w:val="00A83B69"/>
    <w:rsid w:val="00A90976"/>
    <w:rsid w:val="00B002D6"/>
    <w:rsid w:val="00B467FC"/>
    <w:rsid w:val="00B701CF"/>
    <w:rsid w:val="00B8759A"/>
    <w:rsid w:val="00BA44EF"/>
    <w:rsid w:val="00BA5217"/>
    <w:rsid w:val="00BC37F2"/>
    <w:rsid w:val="00C53E95"/>
    <w:rsid w:val="00C76138"/>
    <w:rsid w:val="00CA2864"/>
    <w:rsid w:val="00CB0282"/>
    <w:rsid w:val="00CC1AC7"/>
    <w:rsid w:val="00CD4A94"/>
    <w:rsid w:val="00CF1A63"/>
    <w:rsid w:val="00CF3AFF"/>
    <w:rsid w:val="00D40BB1"/>
    <w:rsid w:val="00D7652E"/>
    <w:rsid w:val="00D90AEA"/>
    <w:rsid w:val="00D954DF"/>
    <w:rsid w:val="00E25A3A"/>
    <w:rsid w:val="00E36F40"/>
    <w:rsid w:val="00E93530"/>
    <w:rsid w:val="00EA3696"/>
    <w:rsid w:val="00EA7332"/>
    <w:rsid w:val="00ED1F9D"/>
    <w:rsid w:val="00ED2648"/>
    <w:rsid w:val="00F533D1"/>
    <w:rsid w:val="00F664C8"/>
    <w:rsid w:val="00FB0370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6609"/>
  <w15:chartTrackingRefBased/>
  <w15:docId w15:val="{F8CFC41F-A39B-4D47-9ACA-4871A41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70"/>
  </w:style>
  <w:style w:type="paragraph" w:styleId="Footer">
    <w:name w:val="footer"/>
    <w:basedOn w:val="Normal"/>
    <w:link w:val="FooterChar"/>
    <w:uiPriority w:val="99"/>
    <w:unhideWhenUsed/>
    <w:qFormat/>
    <w:rsid w:val="00FB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70"/>
  </w:style>
  <w:style w:type="paragraph" w:styleId="BalloonText">
    <w:name w:val="Balloon Text"/>
    <w:basedOn w:val="Normal"/>
    <w:link w:val="BalloonTextChar"/>
    <w:uiPriority w:val="99"/>
    <w:semiHidden/>
    <w:unhideWhenUsed/>
    <w:rsid w:val="00D7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E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7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1AC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54EC-5448-43A0-99E8-CC77D23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personnel center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personnel center</dc:title>
  <dc:subject/>
  <dc:creator>Susan Maude</dc:creator>
  <cp:keywords/>
  <dc:description/>
  <cp:lastModifiedBy>Howe,Elizabeth (stu)</cp:lastModifiedBy>
  <cp:revision>2</cp:revision>
  <cp:lastPrinted>2019-10-16T17:42:00Z</cp:lastPrinted>
  <dcterms:created xsi:type="dcterms:W3CDTF">2019-10-16T19:32:00Z</dcterms:created>
  <dcterms:modified xsi:type="dcterms:W3CDTF">2019-10-16T19:32:00Z</dcterms:modified>
</cp:coreProperties>
</file>